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02" w:rsidRDefault="00303202" w:rsidP="00303202">
      <w:pPr>
        <w:suppressAutoHyphens/>
        <w:ind w:right="-55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РАЗДЕЛ 5. ПОРЯДОК </w:t>
      </w:r>
    </w:p>
    <w:p w:rsidR="00303202" w:rsidRDefault="00303202" w:rsidP="00303202">
      <w:pPr>
        <w:suppressAutoHyphens/>
        <w:ind w:right="-55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ПРЕДОСТАВЛЕНИЯ ОБЕСПЕЧЕНИЯ ИСПОЛНЕНИЯ КОНТРАКТА, ТРЕБОВАНИЯ К ТАКОМУ ОБЕСПЕЧЕНИЮ</w:t>
      </w:r>
    </w:p>
    <w:p w:rsidR="00303202" w:rsidRDefault="00303202" w:rsidP="00303202">
      <w:pPr>
        <w:suppressAutoHyphens/>
        <w:ind w:right="-55"/>
        <w:jc w:val="center"/>
        <w:rPr>
          <w:b/>
          <w:bCs/>
          <w:lang w:eastAsia="ar-SA"/>
        </w:rPr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>Контракт заключается после предоставления одновременно с проектом контракта (без подписи заказчика) документов, подтверждающих предоставление обеспечения исполнения контракта, победителем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форме, запроса предложений в электронной форме (далее – закупка) или иным его участником, с которым заключается контракт, для подписания контракта.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Исполнение контракта может обеспечиваться предоставлением безотзывной банковской гарантии, выданной банком,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Способ обеспечения исполнения контракта, срок действия банковской гарантии определяются участником закупки, с которым заключается контракт, самостоятельно.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Размер обеспечения исполнения контракта указан в извещении об осуществлении закупки и документации о закупке.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hyperlink r:id="rId8" w:history="1">
        <w:r>
          <w:rPr>
            <w:rStyle w:val="aa"/>
          </w:rPr>
          <w:t>частями 7.2</w:t>
        </w:r>
      </w:hyperlink>
      <w:r>
        <w:t xml:space="preserve"> и </w:t>
      </w:r>
      <w:hyperlink r:id="rId9" w:history="1">
        <w:r>
          <w:rPr>
            <w:rStyle w:val="aa"/>
          </w:rPr>
          <w:t>7.3 статьи 96</w:t>
        </w:r>
      </w:hyperlink>
      <w:r>
        <w:t xml:space="preserve"> Федерального закона от 05.04.2013 № 44-ФЗ «О контрактной системе в сфере закупок товаров, работ, услуг для обеспечения</w:t>
      </w:r>
      <w:proofErr w:type="gramEnd"/>
      <w:r>
        <w:t xml:space="preserve"> государственных и муниципальных нужд» (далее – Федеральный закон № 44-ФЗ).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В случае </w:t>
      </w:r>
      <w:r>
        <w:rPr>
          <w:szCs w:val="28"/>
        </w:rPr>
        <w:t xml:space="preserve">изменения срока исполнения контракта, и (или) цены контракта, и (или) цены единицы товара, работы, услуги </w:t>
      </w:r>
      <w:r>
        <w:t>(в случае, предусмотренном </w:t>
      </w:r>
      <w:hyperlink r:id="rId10" w:anchor="/document/70353464/entry/2224" w:history="1">
        <w:r>
          <w:rPr>
            <w:rStyle w:val="aa"/>
          </w:rPr>
          <w:t>частью 24 статьи 22</w:t>
        </w:r>
      </w:hyperlink>
      <w:r>
        <w:t> Федерального закона № 44-ФЗ), и (или) размера аванса (если контрактом предусмотрена выплата аванса)</w:t>
      </w:r>
      <w:r>
        <w:rPr>
          <w:szCs w:val="28"/>
        </w:rPr>
        <w:t xml:space="preserve"> в соответствии с частью 65 статьи 112 </w:t>
      </w:r>
      <w:r>
        <w:t>Федерального закона № 44-ФЗ обеспечение исполнение контракта предоставляется с учетом положений обозначенной нормы.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Положения настоящего раздела об обеспечении исполнения контракта, включая положения о предоставлении такого обеспечения с учетом положений статьи 37 Федерального закона № 44-ФЗ, не применяются в случае: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1) заключения контракта с участником закупки, который является казенным учреждением;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2) осуществления закупки услуги по предоставлению кредита;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3) 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В случае заключения контракта по результатам определения поставщиков (подрядчиков, исполнителей) в соответствии с </w:t>
      </w:r>
      <w:hyperlink r:id="rId11" w:history="1">
        <w:r>
          <w:rPr>
            <w:rStyle w:val="aa"/>
          </w:rPr>
          <w:t>пунктом 1 части 1 статьи 30</w:t>
        </w:r>
      </w:hyperlink>
      <w:r>
        <w:t xml:space="preserve"> Федерального закона № 44-ФЗ размер обеспечения исполнения контракта, в том числе предоставляемого с учетом положений </w:t>
      </w:r>
      <w:hyperlink r:id="rId12" w:history="1">
        <w:r>
          <w:rPr>
            <w:rStyle w:val="aa"/>
          </w:rPr>
          <w:t>статьи 37</w:t>
        </w:r>
      </w:hyperlink>
      <w:r>
        <w:t xml:space="preserve"> Федерального закона № 44-ФЗ, устанавливается от цены, по которой в соответствии с </w:t>
      </w:r>
      <w:hyperlink r:id="rId13" w:history="1">
        <w:r>
          <w:rPr>
            <w:rStyle w:val="aa"/>
          </w:rPr>
          <w:t>Федеральным законом</w:t>
        </w:r>
      </w:hyperlink>
      <w:r>
        <w:t xml:space="preserve"> № 44-ФЗ заключается контракт, но не может составлять менее чем размер аванса.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</w:r>
      <w:hyperlink r:id="rId14" w:history="1">
        <w:r>
          <w:rPr>
            <w:rStyle w:val="aa"/>
          </w:rPr>
          <w:t xml:space="preserve">пунктом 1 части 1 статьи 30 </w:t>
        </w:r>
      </w:hyperlink>
      <w:r>
        <w:t xml:space="preserve">Федерального закона № 44-ФЗ (субъект малого предпринимательства, социально ориентированная некоммерческая организация) освобождается от предоставления обеспечения исполнения контракта, в том числе с учетом положений </w:t>
      </w:r>
      <w:hyperlink r:id="rId15" w:history="1">
        <w:r>
          <w:rPr>
            <w:rStyle w:val="aa"/>
          </w:rPr>
          <w:t>статьи 37</w:t>
        </w:r>
      </w:hyperlink>
      <w:r>
        <w:t xml:space="preserve"> Федерального закона № 44-ФЗ, в случае предоставления таким участником закупки информации, содержащейся в реестре контрактов, заключенных</w:t>
      </w:r>
      <w:proofErr w:type="gramEnd"/>
      <w:r>
        <w:t xml:space="preserve">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</w:t>
      </w:r>
      <w:hyperlink r:id="rId16" w:history="1">
        <w:r>
          <w:rPr>
            <w:rStyle w:val="aa"/>
          </w:rPr>
          <w:t>Федеральным законом</w:t>
        </w:r>
      </w:hyperlink>
      <w:r>
        <w:t xml:space="preserve"> № 44-ФЗ для предоставления обеспечения исполнения контракта. При этом сумма цен таких контрактов должна составлять не </w:t>
      </w:r>
      <w:proofErr w:type="gramStart"/>
      <w:r>
        <w:t>менее начальной</w:t>
      </w:r>
      <w:proofErr w:type="gramEnd"/>
      <w:r>
        <w:t xml:space="preserve"> (максимальной) цены контракта, указанной в извещении об осуществлении закупки и документации о закупке.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>
        <w:rPr>
          <w:b/>
          <w:bCs/>
        </w:rPr>
        <w:t>Часть 1. Условия предоставления обеспечения исполнения контракта при применении антидемпинговых мер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при проведении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 цена контракта снижена на двадцать пять процентов и более от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победитель такой закупки предоставляет: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а) если начальная (максимальная) цена контракта составляет более чем пятнадцать миллионов рублей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б) если начальная (максимальная) цена контракта составляет пятнадцать миллионов рублей и менее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аванса), или информации, подтверждающей добросовестность такого участника в соответствии с </w:t>
      </w:r>
      <w:hyperlink r:id="rId17" w:history="1">
        <w:r>
          <w:rPr>
            <w:rStyle w:val="aa"/>
          </w:rPr>
          <w:t>частью 3 статьи 37</w:t>
        </w:r>
      </w:hyperlink>
      <w:r>
        <w:t xml:space="preserve"> № Федерального закона 44-ФЗ, с одновременным</w:t>
      </w:r>
      <w:proofErr w:type="gramEnd"/>
      <w:r>
        <w:t xml:space="preserve"> предоставлением таким участником обеспечения исполнения контракта в размере обеспечения исполнения контракта, указанном в документации о закупке.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препаратов, участником закупки, с которым заключается контракт,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</w:t>
      </w:r>
      <w:hyperlink r:id="rId18" w:history="1">
        <w:r>
          <w:rPr>
            <w:rStyle w:val="aa"/>
          </w:rPr>
          <w:t>законодательством</w:t>
        </w:r>
      </w:hyperlink>
      <w:r>
        <w:t xml:space="preserve"> об обращении лекарственных средств предельной отпускной цены, антидемпинговые меры не применяются.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2. Обеспечение исполнения контракта в размере, указанном в </w:t>
      </w:r>
      <w:hyperlink r:id="rId19" w:anchor="sub_3111" w:history="1">
        <w:r>
          <w:rPr>
            <w:rStyle w:val="aa"/>
          </w:rPr>
          <w:t>пункте 1</w:t>
        </w:r>
      </w:hyperlink>
      <w:r>
        <w:t xml:space="preserve"> части 1 настоящего раздела, предоставляется участником закупки, с которым заключается контракт, до его заключения.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3. </w:t>
      </w:r>
      <w:proofErr w:type="gramStart"/>
      <w:r>
        <w:t xml:space="preserve">Если предметом контракта является поставка товара, необходимого для нормального жизнеобеспечения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 контракта, сумму цен единиц товара на двадцать пять и более процентов ниже начальной (максимальной) цены контракта, начальной суммы цен единиц товара, наряду с требованиями, предусмотренными </w:t>
      </w:r>
      <w:hyperlink r:id="rId20" w:anchor="sub_3101" w:history="1">
        <w:r>
          <w:rPr>
            <w:rStyle w:val="aa"/>
          </w:rPr>
          <w:t>частью</w:t>
        </w:r>
        <w:proofErr w:type="gramEnd"/>
        <w:r>
          <w:rPr>
            <w:rStyle w:val="aa"/>
          </w:rPr>
          <w:t xml:space="preserve"> </w:t>
        </w:r>
        <w:proofErr w:type="gramStart"/>
        <w:r>
          <w:rPr>
            <w:rStyle w:val="aa"/>
          </w:rPr>
          <w:t>1</w:t>
        </w:r>
      </w:hyperlink>
      <w:r>
        <w:t xml:space="preserve"> настоящего раздела, обязан представить заказчику обоснование предлагаемых цены контракта,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случая, если количество поставляемых товаров невозможно определить), документы, подтверждающие наличие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</w:t>
      </w:r>
      <w:proofErr w:type="gramEnd"/>
      <w:r>
        <w:t>, сумме цен единиц товара.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>
        <w:rPr>
          <w:b/>
          <w:bCs/>
        </w:rPr>
        <w:t>Часть 2. Банковская гарантия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1. В качестве обеспечения исполнения контракта заказчиком принимаются банковские гарантии, выданные банками, соответствующими требованиям, установленным Правительством </w:t>
      </w:r>
      <w:r>
        <w:lastRenderedPageBreak/>
        <w:t xml:space="preserve">Российской Федерации, и включенные в перечень, предусмотренный </w:t>
      </w:r>
      <w:hyperlink r:id="rId21" w:history="1">
        <w:r>
          <w:rPr>
            <w:rStyle w:val="aa"/>
          </w:rPr>
          <w:t>частью 1.2 статьи 45</w:t>
        </w:r>
      </w:hyperlink>
      <w:r>
        <w:t xml:space="preserve"> Федерального закона № 44-ФЗ (с учетом требований частей 1.3 – 1.6 статьи 45 Федерального закона № 44-ФЗ)</w:t>
      </w:r>
      <w:r>
        <w:rPr>
          <w:lang w:eastAsia="en-US"/>
        </w:rPr>
        <w:t>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2. Банковская гарантия должна быть безотзывной и должна содержать: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1) сумму банковской гарантии, подлежащую уплате гарантом заказчику в случае ненадлежащего исполнения обязательств по контракту;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2) обязательства принципала, надлежащее исполнение которых обеспечивается банковской гарантией: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3) обязанность гаранта уплатить заказчику неустойку в размере 0,1% денежной суммы, подлежащей уплате, за каждый день просрочки;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303202" w:rsidRDefault="00303202" w:rsidP="00303202">
      <w:pPr>
        <w:suppressAutoHyphens/>
        <w:jc w:val="both"/>
      </w:pPr>
      <w:r>
        <w:t xml:space="preserve">Получатель: </w:t>
      </w:r>
    </w:p>
    <w:p w:rsidR="00303202" w:rsidRPr="00303202" w:rsidRDefault="00303202" w:rsidP="00303202">
      <w:pPr>
        <w:jc w:val="both"/>
      </w:pPr>
      <w:r w:rsidRPr="00303202">
        <w:t>ИНН 2328011906 КПП 232801001</w:t>
      </w:r>
    </w:p>
    <w:p w:rsidR="00303202" w:rsidRPr="00303202" w:rsidRDefault="00303202" w:rsidP="00303202">
      <w:pPr>
        <w:jc w:val="both"/>
      </w:pPr>
      <w:proofErr w:type="gramStart"/>
      <w:r w:rsidRPr="00303202">
        <w:t>Р</w:t>
      </w:r>
      <w:proofErr w:type="gramEnd"/>
      <w:r w:rsidRPr="00303202">
        <w:t xml:space="preserve">\сч.40302810903493000289 УФК по Краснодарскому краю (Администрация </w:t>
      </w:r>
      <w:proofErr w:type="spellStart"/>
      <w:r w:rsidRPr="00303202">
        <w:t>Бейсугского</w:t>
      </w:r>
      <w:proofErr w:type="spellEnd"/>
      <w:r w:rsidRPr="00303202">
        <w:t xml:space="preserve"> сельского поселения </w:t>
      </w:r>
      <w:proofErr w:type="spellStart"/>
      <w:r w:rsidRPr="00303202">
        <w:t>Выселковского</w:t>
      </w:r>
      <w:proofErr w:type="spellEnd"/>
      <w:r w:rsidRPr="00303202">
        <w:t xml:space="preserve"> района  л/с 05183002520) (В назначении платежа обязательно указать: средства во временное распоряжение (обеспечение контракта: указать предмет контракта) БИК 040349001  ТС: 300000.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5) срок действия банковской гарантии, предоставленной в качестве обеспечения исполнения контракта (должен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</w:t>
      </w:r>
      <w:hyperlink r:id="rId22" w:history="1">
        <w:r>
          <w:rPr>
            <w:rStyle w:val="aa"/>
          </w:rPr>
          <w:t>статьей 95</w:t>
        </w:r>
      </w:hyperlink>
      <w:r>
        <w:t xml:space="preserve"> Федерального закона № 44-ФЗ);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контракта;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 xml:space="preserve">7) </w:t>
      </w:r>
      <w:hyperlink r:id="rId23" w:history="1">
        <w:r>
          <w:rPr>
            <w:rStyle w:val="aa"/>
          </w:rPr>
          <w:t>перечень</w:t>
        </w:r>
      </w:hyperlink>
      <w:r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hyperlink r:id="rId24" w:history="1">
        <w:r>
          <w:rPr>
            <w:rStyle w:val="aa"/>
          </w:rPr>
          <w:t>постановлением</w:t>
        </w:r>
      </w:hyperlink>
      <w:r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(далее – постановление № 1005);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>8)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в случае, если условие было предусмотрено извещением об осуществлении закупки, документацией о закупке;</w:t>
      </w:r>
      <w:proofErr w:type="gramEnd"/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>
        <w:t>9) права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</w:t>
      </w:r>
      <w:proofErr w:type="gramEnd"/>
      <w:r>
        <w:t xml:space="preserve"> не </w:t>
      </w:r>
      <w:proofErr w:type="gramStart"/>
      <w:r>
        <w:t>превышающем</w:t>
      </w:r>
      <w:proofErr w:type="gramEnd"/>
      <w:r>
        <w:t xml:space="preserve"> размер обеспечения исполнения контракта;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10)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lastRenderedPageBreak/>
        <w:t>11) 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3. Недопустимо включать в банковскую гарантию: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>
        <w:t>непредоставления</w:t>
      </w:r>
      <w:proofErr w:type="spellEnd"/>
      <w: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требования о предоставлении заказчиком гаранту отчета об исполнении контракта, гарантийных обязательств;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требования о предоставлении заказчиком гаранту одновременно                с требованием об осуществлении уплаты денежной суммы по банковской гарантии документов, не включенных в </w:t>
      </w:r>
      <w:hyperlink r:id="rId25" w:history="1">
        <w:r>
          <w:rPr>
            <w:rStyle w:val="aa"/>
          </w:rPr>
          <w:t>перечень</w:t>
        </w:r>
      </w:hyperlink>
      <w: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       № 1005;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>
        <w:rPr>
          <w:b/>
          <w:bCs/>
        </w:rPr>
        <w:t>Часть 3. Внесение денежных сре</w:t>
      </w:r>
      <w:proofErr w:type="gramStart"/>
      <w:r>
        <w:rPr>
          <w:b/>
          <w:bCs/>
        </w:rPr>
        <w:t>дств в к</w:t>
      </w:r>
      <w:proofErr w:type="gramEnd"/>
      <w:r>
        <w:rPr>
          <w:b/>
          <w:bCs/>
        </w:rPr>
        <w:t>ачестве обеспечения исполнения контракта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Участник закупки должен внести денежные средства в качестве обеспечения исполнения контракта в размере, установленном в извещении об осуществлении закупки и документации о закупке, или в случаях, предусмотренных в </w:t>
      </w:r>
      <w:hyperlink r:id="rId26" w:anchor="sub_3111" w:history="1">
        <w:r>
          <w:rPr>
            <w:rStyle w:val="aa"/>
          </w:rPr>
          <w:t>пунктах 1</w:t>
        </w:r>
      </w:hyperlink>
      <w:r>
        <w:t xml:space="preserve">, </w:t>
      </w:r>
      <w:hyperlink r:id="rId27" w:anchor="sub_3112" w:history="1">
        <w:r>
          <w:rPr>
            <w:rStyle w:val="aa"/>
          </w:rPr>
          <w:t>2 части 1</w:t>
        </w:r>
      </w:hyperlink>
      <w:r>
        <w:t xml:space="preserve"> настоящего раздела – в размере, превышающем установленный в полтора раза, на банковский счет:</w:t>
      </w:r>
    </w:p>
    <w:p w:rsidR="00303202" w:rsidRDefault="00303202" w:rsidP="00303202">
      <w:pPr>
        <w:suppressAutoHyphens/>
        <w:jc w:val="both"/>
      </w:pPr>
      <w:r>
        <w:t xml:space="preserve">Получатель: </w:t>
      </w:r>
    </w:p>
    <w:p w:rsidR="00303202" w:rsidRPr="00303202" w:rsidRDefault="00303202" w:rsidP="00303202">
      <w:pPr>
        <w:jc w:val="both"/>
      </w:pPr>
      <w:r w:rsidRPr="00303202">
        <w:t>ИНН 2328011906 КПП 232801001</w:t>
      </w:r>
    </w:p>
    <w:p w:rsidR="00303202" w:rsidRPr="00160A2D" w:rsidRDefault="00303202" w:rsidP="00303202">
      <w:pPr>
        <w:jc w:val="both"/>
        <w:rPr>
          <w:color w:val="FF0000"/>
        </w:rPr>
      </w:pPr>
      <w:proofErr w:type="gramStart"/>
      <w:r w:rsidRPr="00303202">
        <w:t>Р</w:t>
      </w:r>
      <w:proofErr w:type="gramEnd"/>
      <w:r w:rsidRPr="00303202">
        <w:t xml:space="preserve">\сч.40302810903493000289 УФК по Краснодарскому краю (Администрация </w:t>
      </w:r>
      <w:proofErr w:type="spellStart"/>
      <w:r w:rsidRPr="00303202">
        <w:t>Бейсугского</w:t>
      </w:r>
      <w:proofErr w:type="spellEnd"/>
      <w:r w:rsidRPr="00303202">
        <w:t xml:space="preserve"> сельского поселения </w:t>
      </w:r>
      <w:proofErr w:type="spellStart"/>
      <w:r w:rsidRPr="00303202">
        <w:t>Выселковского</w:t>
      </w:r>
      <w:proofErr w:type="spellEnd"/>
      <w:r w:rsidRPr="00303202">
        <w:t xml:space="preserve"> района  л/с 05183002520) (В назначении платежа обязательно указать: средства во временное распоряжение (обеспечение контракта: указать предмет контракта) БИК 040349001  ТС: 300000.</w:t>
      </w:r>
    </w:p>
    <w:p w:rsidR="00303202" w:rsidRDefault="00303202" w:rsidP="00303202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>
        <w:t xml:space="preserve">Платежное поручение, которым в силу закона перечисляются средства в обеспечение исполнения контракта, должно быть оформлено в соответствии с требованиями </w:t>
      </w:r>
      <w:hyperlink r:id="rId28" w:history="1">
        <w:r>
          <w:rPr>
            <w:rStyle w:val="aa"/>
          </w:rPr>
          <w:t>Положения</w:t>
        </w:r>
      </w:hyperlink>
      <w:r>
        <w:t xml:space="preserve"> Центрального банка Российской Федерации от 19.06.2012 № 383-П «О правилах осуществления перевода денежных средств».</w:t>
      </w:r>
    </w:p>
    <w:p w:rsidR="00303202" w:rsidRDefault="00303202" w:rsidP="00303202">
      <w:pPr>
        <w:suppressAutoHyphens/>
        <w:ind w:right="-55" w:firstLine="709"/>
        <w:jc w:val="both"/>
      </w:pPr>
      <w:r>
        <w:t xml:space="preserve"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исполнения контракта», «номер извещения (лота)», участник, с которым заключается контракт, несет риски, связанные с </w:t>
      </w:r>
      <w:proofErr w:type="spellStart"/>
      <w:r>
        <w:t>непредоставлением</w:t>
      </w:r>
      <w:proofErr w:type="spellEnd"/>
      <w:r>
        <w:t xml:space="preserve"> обеспечения исполнения контракта.</w:t>
      </w:r>
    </w:p>
    <w:p w:rsidR="00303202" w:rsidRDefault="00303202" w:rsidP="00303202">
      <w:pPr>
        <w:suppressAutoHyphens/>
        <w:ind w:right="-55"/>
        <w:jc w:val="center"/>
        <w:rPr>
          <w:b/>
          <w:bCs/>
          <w:lang w:eastAsia="ar-SA"/>
        </w:rPr>
      </w:pPr>
    </w:p>
    <w:p w:rsidR="00303202" w:rsidRDefault="00303202" w:rsidP="00303202">
      <w:pPr>
        <w:suppressAutoHyphens/>
        <w:ind w:right="-55" w:firstLine="709"/>
        <w:jc w:val="both"/>
      </w:pPr>
    </w:p>
    <w:p w:rsidR="00303202" w:rsidRDefault="00303202" w:rsidP="00BF7C6C">
      <w:pPr>
        <w:jc w:val="center"/>
        <w:rPr>
          <w:b/>
          <w:bCs/>
          <w:sz w:val="28"/>
          <w:szCs w:val="28"/>
        </w:rPr>
      </w:pPr>
    </w:p>
    <w:p w:rsidR="00FF7B1E" w:rsidRDefault="00FF7B1E" w:rsidP="00C954CC">
      <w:pPr>
        <w:pStyle w:val="1"/>
        <w:tabs>
          <w:tab w:val="clear" w:pos="432"/>
          <w:tab w:val="left" w:pos="708"/>
        </w:tabs>
        <w:ind w:left="5529" w:firstLine="0"/>
        <w:jc w:val="right"/>
        <w:rPr>
          <w:b w:val="0"/>
          <w:bCs w:val="0"/>
        </w:rPr>
      </w:pPr>
      <w:bookmarkStart w:id="0" w:name="_GoBack"/>
      <w:bookmarkEnd w:id="0"/>
    </w:p>
    <w:sectPr w:rsidR="00FF7B1E" w:rsidSect="001C1F69">
      <w:headerReference w:type="default" r:id="rId29"/>
      <w:headerReference w:type="first" r:id="rId30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F1" w:rsidRDefault="00AB13F1" w:rsidP="00063F29">
      <w:r>
        <w:separator/>
      </w:r>
    </w:p>
  </w:endnote>
  <w:endnote w:type="continuationSeparator" w:id="0">
    <w:p w:rsidR="00AB13F1" w:rsidRDefault="00AB13F1" w:rsidP="0006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F1" w:rsidRDefault="00AB13F1" w:rsidP="00063F29">
      <w:r>
        <w:separator/>
      </w:r>
    </w:p>
  </w:footnote>
  <w:footnote w:type="continuationSeparator" w:id="0">
    <w:p w:rsidR="00AB13F1" w:rsidRDefault="00AB13F1" w:rsidP="00063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1E" w:rsidRDefault="00334F59">
    <w:pPr>
      <w:pStyle w:val="a4"/>
      <w:jc w:val="center"/>
    </w:pPr>
    <w:r>
      <w:fldChar w:fldCharType="begin"/>
    </w:r>
    <w:r w:rsidR="00FA42FE">
      <w:instrText>PAGE   \* MERGEFORMAT</w:instrText>
    </w:r>
    <w:r>
      <w:fldChar w:fldCharType="separate"/>
    </w:r>
    <w:r w:rsidR="00303202">
      <w:rPr>
        <w:noProof/>
      </w:rPr>
      <w:t>4</w:t>
    </w:r>
    <w:r>
      <w:rPr>
        <w:noProof/>
      </w:rPr>
      <w:fldChar w:fldCharType="end"/>
    </w:r>
  </w:p>
  <w:p w:rsidR="00FF7B1E" w:rsidRDefault="00FF7B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1E" w:rsidRDefault="00FF7B1E">
    <w:pPr>
      <w:pStyle w:val="a4"/>
      <w:jc w:val="center"/>
    </w:pPr>
  </w:p>
  <w:p w:rsidR="00FF7B1E" w:rsidRDefault="00FF7B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310"/>
    <w:multiLevelType w:val="hybridMultilevel"/>
    <w:tmpl w:val="F07C65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6CF70BC1"/>
    <w:multiLevelType w:val="multilevel"/>
    <w:tmpl w:val="B6E277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D81"/>
    <w:rsid w:val="00056A15"/>
    <w:rsid w:val="00063F29"/>
    <w:rsid w:val="000C01E9"/>
    <w:rsid w:val="000C4B06"/>
    <w:rsid w:val="000C6CB9"/>
    <w:rsid w:val="000D242A"/>
    <w:rsid w:val="000D7F8F"/>
    <w:rsid w:val="000F18EE"/>
    <w:rsid w:val="000F4B4A"/>
    <w:rsid w:val="001069E0"/>
    <w:rsid w:val="00136240"/>
    <w:rsid w:val="00160A2D"/>
    <w:rsid w:val="00194047"/>
    <w:rsid w:val="001B0C36"/>
    <w:rsid w:val="001B7B03"/>
    <w:rsid w:val="001C1F69"/>
    <w:rsid w:val="001D67A7"/>
    <w:rsid w:val="001F5F86"/>
    <w:rsid w:val="001F6C43"/>
    <w:rsid w:val="00210199"/>
    <w:rsid w:val="002235AB"/>
    <w:rsid w:val="002315E5"/>
    <w:rsid w:val="0026059F"/>
    <w:rsid w:val="002662DD"/>
    <w:rsid w:val="002C4627"/>
    <w:rsid w:val="002E34AC"/>
    <w:rsid w:val="002E4BC9"/>
    <w:rsid w:val="002E6DD4"/>
    <w:rsid w:val="002F4306"/>
    <w:rsid w:val="00303202"/>
    <w:rsid w:val="00307885"/>
    <w:rsid w:val="00321793"/>
    <w:rsid w:val="00330E39"/>
    <w:rsid w:val="00334F59"/>
    <w:rsid w:val="0033592E"/>
    <w:rsid w:val="003372B3"/>
    <w:rsid w:val="00371BA6"/>
    <w:rsid w:val="00374D8C"/>
    <w:rsid w:val="003851C0"/>
    <w:rsid w:val="003A4FAA"/>
    <w:rsid w:val="003D2407"/>
    <w:rsid w:val="003E0E14"/>
    <w:rsid w:val="003E3986"/>
    <w:rsid w:val="003F7DCE"/>
    <w:rsid w:val="00407159"/>
    <w:rsid w:val="00413B9D"/>
    <w:rsid w:val="00422CCD"/>
    <w:rsid w:val="00452832"/>
    <w:rsid w:val="00452C7A"/>
    <w:rsid w:val="00452EA9"/>
    <w:rsid w:val="00455500"/>
    <w:rsid w:val="00455E09"/>
    <w:rsid w:val="00456820"/>
    <w:rsid w:val="00474227"/>
    <w:rsid w:val="00477E31"/>
    <w:rsid w:val="004A0A80"/>
    <w:rsid w:val="004B7C72"/>
    <w:rsid w:val="004D1120"/>
    <w:rsid w:val="004D13F1"/>
    <w:rsid w:val="004E1A49"/>
    <w:rsid w:val="004F00AF"/>
    <w:rsid w:val="00511CEA"/>
    <w:rsid w:val="0052148F"/>
    <w:rsid w:val="00537AD2"/>
    <w:rsid w:val="00546BC5"/>
    <w:rsid w:val="0055202D"/>
    <w:rsid w:val="00577851"/>
    <w:rsid w:val="00582AEB"/>
    <w:rsid w:val="005968B0"/>
    <w:rsid w:val="005C351D"/>
    <w:rsid w:val="005D4D8F"/>
    <w:rsid w:val="005D769D"/>
    <w:rsid w:val="005F3F14"/>
    <w:rsid w:val="00623F2C"/>
    <w:rsid w:val="00635BF6"/>
    <w:rsid w:val="00647C4F"/>
    <w:rsid w:val="00653299"/>
    <w:rsid w:val="0065503D"/>
    <w:rsid w:val="006766C4"/>
    <w:rsid w:val="006B1003"/>
    <w:rsid w:val="006B54D8"/>
    <w:rsid w:val="006C7412"/>
    <w:rsid w:val="006D321F"/>
    <w:rsid w:val="006E4A18"/>
    <w:rsid w:val="006F017C"/>
    <w:rsid w:val="00701B9D"/>
    <w:rsid w:val="00702F6F"/>
    <w:rsid w:val="00717026"/>
    <w:rsid w:val="00732D4E"/>
    <w:rsid w:val="00733208"/>
    <w:rsid w:val="00741B11"/>
    <w:rsid w:val="00751D90"/>
    <w:rsid w:val="007710C0"/>
    <w:rsid w:val="00777505"/>
    <w:rsid w:val="00784099"/>
    <w:rsid w:val="007940CB"/>
    <w:rsid w:val="007B4231"/>
    <w:rsid w:val="007C0F70"/>
    <w:rsid w:val="007C71EB"/>
    <w:rsid w:val="007E6F27"/>
    <w:rsid w:val="007F5001"/>
    <w:rsid w:val="008471CF"/>
    <w:rsid w:val="00856102"/>
    <w:rsid w:val="00870C91"/>
    <w:rsid w:val="0087535F"/>
    <w:rsid w:val="008840B2"/>
    <w:rsid w:val="008E2848"/>
    <w:rsid w:val="008E7D81"/>
    <w:rsid w:val="00913C5A"/>
    <w:rsid w:val="00987DE2"/>
    <w:rsid w:val="00991E05"/>
    <w:rsid w:val="00992697"/>
    <w:rsid w:val="0099580D"/>
    <w:rsid w:val="009A7AE4"/>
    <w:rsid w:val="009C50CA"/>
    <w:rsid w:val="009D1237"/>
    <w:rsid w:val="009D2232"/>
    <w:rsid w:val="009D6C68"/>
    <w:rsid w:val="009D7055"/>
    <w:rsid w:val="009F22B5"/>
    <w:rsid w:val="00A57E0D"/>
    <w:rsid w:val="00A71015"/>
    <w:rsid w:val="00AB13F1"/>
    <w:rsid w:val="00AC3DC4"/>
    <w:rsid w:val="00AF6917"/>
    <w:rsid w:val="00B12DCE"/>
    <w:rsid w:val="00B150B1"/>
    <w:rsid w:val="00B323E0"/>
    <w:rsid w:val="00B7008E"/>
    <w:rsid w:val="00B80EB0"/>
    <w:rsid w:val="00B97D1A"/>
    <w:rsid w:val="00BA44B7"/>
    <w:rsid w:val="00BB339A"/>
    <w:rsid w:val="00BB35F6"/>
    <w:rsid w:val="00BC4729"/>
    <w:rsid w:val="00BF7C6C"/>
    <w:rsid w:val="00C14084"/>
    <w:rsid w:val="00C1428E"/>
    <w:rsid w:val="00C4678B"/>
    <w:rsid w:val="00C779DD"/>
    <w:rsid w:val="00C954CC"/>
    <w:rsid w:val="00CB0AC5"/>
    <w:rsid w:val="00CB693C"/>
    <w:rsid w:val="00CB6BC5"/>
    <w:rsid w:val="00CB79E9"/>
    <w:rsid w:val="00CD22E8"/>
    <w:rsid w:val="00CE1248"/>
    <w:rsid w:val="00CF196E"/>
    <w:rsid w:val="00D04409"/>
    <w:rsid w:val="00D06CC0"/>
    <w:rsid w:val="00D3224A"/>
    <w:rsid w:val="00D33B3A"/>
    <w:rsid w:val="00D378C2"/>
    <w:rsid w:val="00D52A72"/>
    <w:rsid w:val="00D640AD"/>
    <w:rsid w:val="00D97269"/>
    <w:rsid w:val="00DA6702"/>
    <w:rsid w:val="00DA7B70"/>
    <w:rsid w:val="00DA7F9E"/>
    <w:rsid w:val="00DB3081"/>
    <w:rsid w:val="00DB6D98"/>
    <w:rsid w:val="00DB7530"/>
    <w:rsid w:val="00DE25F4"/>
    <w:rsid w:val="00DE6B55"/>
    <w:rsid w:val="00E12E45"/>
    <w:rsid w:val="00E12F5B"/>
    <w:rsid w:val="00E51B60"/>
    <w:rsid w:val="00E54306"/>
    <w:rsid w:val="00E6414C"/>
    <w:rsid w:val="00E84D28"/>
    <w:rsid w:val="00E84FB6"/>
    <w:rsid w:val="00EB095B"/>
    <w:rsid w:val="00EC7F45"/>
    <w:rsid w:val="00EF0EF8"/>
    <w:rsid w:val="00F1643A"/>
    <w:rsid w:val="00F221E8"/>
    <w:rsid w:val="00F52956"/>
    <w:rsid w:val="00F52AD3"/>
    <w:rsid w:val="00F71443"/>
    <w:rsid w:val="00F75D3A"/>
    <w:rsid w:val="00F83F4C"/>
    <w:rsid w:val="00F86697"/>
    <w:rsid w:val="00F9192A"/>
    <w:rsid w:val="00FA42FE"/>
    <w:rsid w:val="00FA4FBE"/>
    <w:rsid w:val="00FB0368"/>
    <w:rsid w:val="00FB0D9F"/>
    <w:rsid w:val="00FD6350"/>
    <w:rsid w:val="00FF1F9E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2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table" w:styleId="a3">
    <w:name w:val="Table Grid"/>
    <w:basedOn w:val="a1"/>
    <w:uiPriority w:val="99"/>
    <w:rsid w:val="00F1643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 Знак"/>
    <w:basedOn w:val="21"/>
    <w:link w:val="30"/>
    <w:uiPriority w:val="99"/>
    <w:rsid w:val="00E12E45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 w:cs="Arial"/>
    </w:rPr>
  </w:style>
  <w:style w:type="character" w:customStyle="1" w:styleId="30">
    <w:name w:val="Стиль3 Знак Знак"/>
    <w:link w:val="3"/>
    <w:uiPriority w:val="99"/>
    <w:locked/>
    <w:rsid w:val="00E12E45"/>
    <w:rPr>
      <w:rFonts w:ascii="Arial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E12E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E12E4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063F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63F2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63F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63F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uiPriority w:val="99"/>
    <w:rsid w:val="001D67A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BB33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B339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rsid w:val="009926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2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table" w:styleId="a3">
    <w:name w:val="Table Grid"/>
    <w:basedOn w:val="a1"/>
    <w:uiPriority w:val="99"/>
    <w:rsid w:val="00F1643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 Знак"/>
    <w:basedOn w:val="21"/>
    <w:link w:val="30"/>
    <w:uiPriority w:val="99"/>
    <w:rsid w:val="00E12E45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 w:cs="Arial"/>
    </w:rPr>
  </w:style>
  <w:style w:type="character" w:customStyle="1" w:styleId="30">
    <w:name w:val="Стиль3 Знак Знак"/>
    <w:link w:val="3"/>
    <w:uiPriority w:val="99"/>
    <w:locked/>
    <w:rsid w:val="00E12E45"/>
    <w:rPr>
      <w:rFonts w:ascii="Arial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E12E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E12E4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063F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63F2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63F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63F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uiPriority w:val="99"/>
    <w:rsid w:val="001D67A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BB33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B339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rsid w:val="009926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0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9672" TargetMode="External"/><Relationship Id="rId13" Type="http://schemas.openxmlformats.org/officeDocument/2006/relationships/hyperlink" Target="http://internet.garant.ru/document/redirect/70353464/0" TargetMode="External"/><Relationship Id="rId18" Type="http://schemas.openxmlformats.org/officeDocument/2006/relationships/hyperlink" Target="http://internet.garant.ru/document/redirect/12174909/3" TargetMode="External"/><Relationship Id="rId26" Type="http://schemas.openxmlformats.org/officeDocument/2006/relationships/hyperlink" Target="file:///C:\Users\&#1082;&#1088;&#1072;&#1089;&#1080;&#1083;&#1080;&#1085;&#1072;&#1086;\Desktop\&#1082;&#1074;&#1072;&#1088;&#1090;&#1080;&#1088;&#1072;%2019%20&#1087;&#1086;%20&#1082;&#1088;&#1072;&#1102;%20&#1057;&#1052;&#1055;\&#1069;&#1040;%20&#1056;&#1072;&#1079;&#1076;&#1077;&#1083;%205%20&#1055;&#1086;&#1088;&#1103;&#1076;&#1086;&#1082;%20&#1087;&#1088;&#1077;&#1076;&#1086;&#1089;&#1090;%20&#1086;&#1073;&#1077;&#1089;&#1087;%20&#1080;&#1089;&#1087;%20&#1082;&#1086;&#1085;&#1090;&#1088;&#1072;&#1082;&#1090;&#1072;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ternet.garant.ru/document/redirect/70353464/450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0353464/37" TargetMode="External"/><Relationship Id="rId17" Type="http://schemas.openxmlformats.org/officeDocument/2006/relationships/hyperlink" Target="http://internet.garant.ru/document/redirect/70353464/373" TargetMode="External"/><Relationship Id="rId25" Type="http://schemas.openxmlformats.org/officeDocument/2006/relationships/hyperlink" Target="http://internet.garant.ru/document/redirect/70502258/2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0353464/0" TargetMode="External"/><Relationship Id="rId20" Type="http://schemas.openxmlformats.org/officeDocument/2006/relationships/hyperlink" Target="file:///C:\Users\&#1082;&#1088;&#1072;&#1089;&#1080;&#1083;&#1080;&#1085;&#1072;&#1086;\Desktop\&#1082;&#1074;&#1072;&#1088;&#1090;&#1080;&#1088;&#1072;%2019%20&#1087;&#1086;%20&#1082;&#1088;&#1072;&#1102;%20&#1057;&#1052;&#1055;\&#1069;&#1040;%20&#1056;&#1072;&#1079;&#1076;&#1077;&#1083;%205%20&#1055;&#1086;&#1088;&#1103;&#1076;&#1086;&#1082;%20&#1087;&#1088;&#1077;&#1076;&#1086;&#1089;&#1090;%20&#1086;&#1073;&#1077;&#1089;&#1087;%20&#1080;&#1089;&#1087;%20&#1082;&#1086;&#1085;&#1090;&#1088;&#1072;&#1082;&#1090;&#1072;.docx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0353464/30101" TargetMode="External"/><Relationship Id="rId24" Type="http://schemas.openxmlformats.org/officeDocument/2006/relationships/hyperlink" Target="http://internet.garant.ru/document/redirect/70502258/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70353464/37" TargetMode="External"/><Relationship Id="rId23" Type="http://schemas.openxmlformats.org/officeDocument/2006/relationships/hyperlink" Target="http://internet.garant.ru/document/redirect/70502258/2000" TargetMode="External"/><Relationship Id="rId28" Type="http://schemas.openxmlformats.org/officeDocument/2006/relationships/hyperlink" Target="http://internet.garant.ru/document/redirect/70194476/0" TargetMode="External"/><Relationship Id="rId10" Type="http://schemas.openxmlformats.org/officeDocument/2006/relationships/hyperlink" Target="https://demo.garant.ru/" TargetMode="External"/><Relationship Id="rId19" Type="http://schemas.openxmlformats.org/officeDocument/2006/relationships/hyperlink" Target="file:///C:\Users\&#1082;&#1088;&#1072;&#1089;&#1080;&#1083;&#1080;&#1085;&#1072;&#1086;\Desktop\&#1082;&#1074;&#1072;&#1088;&#1090;&#1080;&#1088;&#1072;%2019%20&#1087;&#1086;%20&#1082;&#1088;&#1072;&#1102;%20&#1057;&#1052;&#1055;\&#1069;&#1040;%20&#1056;&#1072;&#1079;&#1076;&#1077;&#1083;%205%20&#1055;&#1086;&#1088;&#1103;&#1076;&#1086;&#1082;%20&#1087;&#1088;&#1077;&#1076;&#1086;&#1089;&#1090;%20&#1086;&#1073;&#1077;&#1089;&#1087;%20&#1080;&#1089;&#1087;%20&#1082;&#1086;&#1085;&#1090;&#1088;&#1072;&#1082;&#1090;&#1072;.docx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353464/9673" TargetMode="External"/><Relationship Id="rId14" Type="http://schemas.openxmlformats.org/officeDocument/2006/relationships/hyperlink" Target="http://internet.garant.ru/document/redirect/70353464/30101" TargetMode="External"/><Relationship Id="rId22" Type="http://schemas.openxmlformats.org/officeDocument/2006/relationships/hyperlink" Target="http://internet.garant.ru/document/redirect/70353464/95" TargetMode="External"/><Relationship Id="rId27" Type="http://schemas.openxmlformats.org/officeDocument/2006/relationships/hyperlink" Target="file:///C:\Users\&#1082;&#1088;&#1072;&#1089;&#1080;&#1083;&#1080;&#1085;&#1072;&#1086;\Desktop\&#1082;&#1074;&#1072;&#1088;&#1090;&#1080;&#1088;&#1072;%2019%20&#1087;&#1086;%20&#1082;&#1088;&#1072;&#1102;%20&#1057;&#1052;&#1055;\&#1069;&#1040;%20&#1056;&#1072;&#1079;&#1076;&#1077;&#1083;%205%20&#1055;&#1086;&#1088;&#1103;&#1076;&#1086;&#1082;%20&#1087;&#1088;&#1077;&#1076;&#1086;&#1089;&#1090;%20&#1086;&#1073;&#1077;&#1089;&#1087;%20&#1080;&#1089;&#1087;%20&#1082;&#1086;&#1085;&#1090;&#1088;&#1072;&#1082;&#1090;&#1072;.docx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5</vt:lpstr>
    </vt:vector>
  </TitlesOfParts>
  <Company>Выселковский район</Company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5</dc:title>
  <dc:creator>Ubiikon.M.A</dc:creator>
  <cp:lastModifiedBy>Ольга Красилина</cp:lastModifiedBy>
  <cp:revision>5</cp:revision>
  <cp:lastPrinted>2018-07-04T12:57:00Z</cp:lastPrinted>
  <dcterms:created xsi:type="dcterms:W3CDTF">2020-02-19T08:22:00Z</dcterms:created>
  <dcterms:modified xsi:type="dcterms:W3CDTF">2020-07-14T06:59:00Z</dcterms:modified>
</cp:coreProperties>
</file>